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A3D34" w14:textId="360EA5A8" w:rsidR="000656C5" w:rsidRDefault="000656C5">
      <w:pPr>
        <w:rPr>
          <w:sz w:val="20"/>
          <w:szCs w:val="20"/>
        </w:rPr>
      </w:pPr>
    </w:p>
    <w:p w14:paraId="1B7AAF29" w14:textId="77777777" w:rsidR="000656C5" w:rsidRDefault="00000000">
      <w:pPr>
        <w:rPr>
          <w:rFonts w:eastAsia="宋体"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Supplementary Fig</w:t>
      </w:r>
      <w:r>
        <w:rPr>
          <w:rFonts w:eastAsia="宋体" w:hint="eastAsia"/>
          <w:b/>
          <w:bCs/>
          <w:sz w:val="20"/>
          <w:szCs w:val="20"/>
        </w:rPr>
        <w:t xml:space="preserve">ure </w:t>
      </w:r>
      <w:r>
        <w:rPr>
          <w:rFonts w:eastAsia="宋体"/>
          <w:b/>
          <w:bCs/>
          <w:sz w:val="20"/>
          <w:szCs w:val="20"/>
        </w:rPr>
        <w:t>1</w:t>
      </w:r>
      <w:r>
        <w:rPr>
          <w:rFonts w:eastAsia="宋体" w:hint="eastAsia"/>
          <w:b/>
          <w:bCs/>
          <w:sz w:val="20"/>
          <w:szCs w:val="20"/>
        </w:rPr>
        <w:t>.</w:t>
      </w:r>
      <w:r>
        <w:rPr>
          <w:rFonts w:eastAsia="宋体"/>
          <w:sz w:val="20"/>
          <w:szCs w:val="20"/>
        </w:rPr>
        <w:t xml:space="preserve"> Clinical correlation between PLK1 and LALA</w:t>
      </w:r>
    </w:p>
    <w:p w14:paraId="4C9E855F" w14:textId="77777777" w:rsidR="000656C5" w:rsidRDefault="00000000">
      <w:r>
        <w:rPr>
          <w:rFonts w:eastAsia="宋体"/>
          <w:sz w:val="20"/>
          <w:szCs w:val="20"/>
        </w:rPr>
        <w:t>A-C. TNM stage; D. Pathologic stage; E. Residual tumor; F. Smoker. *</w:t>
      </w:r>
      <w:r>
        <w:rPr>
          <w:rFonts w:eastAsia="宋体"/>
          <w:i/>
          <w:iCs/>
          <w:sz w:val="20"/>
          <w:szCs w:val="20"/>
        </w:rPr>
        <w:t>p</w:t>
      </w:r>
      <w:r>
        <w:rPr>
          <w:rFonts w:eastAsia="宋体"/>
          <w:sz w:val="20"/>
          <w:szCs w:val="20"/>
        </w:rPr>
        <w:t>&lt;0.05, **</w:t>
      </w:r>
      <w:r>
        <w:rPr>
          <w:rFonts w:eastAsia="宋体"/>
          <w:i/>
          <w:iCs/>
          <w:sz w:val="20"/>
          <w:szCs w:val="20"/>
        </w:rPr>
        <w:t>p</w:t>
      </w:r>
      <w:r>
        <w:rPr>
          <w:rFonts w:eastAsia="宋体"/>
          <w:sz w:val="20"/>
          <w:szCs w:val="20"/>
        </w:rPr>
        <w:t>&lt; 0.01, ***</w:t>
      </w:r>
      <w:r>
        <w:rPr>
          <w:rFonts w:eastAsia="宋体"/>
          <w:i/>
          <w:iCs/>
          <w:sz w:val="20"/>
          <w:szCs w:val="20"/>
        </w:rPr>
        <w:t>p</w:t>
      </w:r>
      <w:r>
        <w:rPr>
          <w:rFonts w:eastAsia="宋体"/>
          <w:sz w:val="20"/>
          <w:szCs w:val="20"/>
        </w:rPr>
        <w:t>&lt; 0.001.</w:t>
      </w:r>
    </w:p>
    <w:p w14:paraId="786F604E" w14:textId="6AF5E6C9" w:rsidR="000656C5" w:rsidRDefault="000656C5">
      <w:pPr>
        <w:ind w:firstLineChars="100" w:firstLine="200"/>
        <w:rPr>
          <w:sz w:val="20"/>
          <w:szCs w:val="20"/>
        </w:rPr>
      </w:pPr>
    </w:p>
    <w:p w14:paraId="63CE8586" w14:textId="77777777" w:rsidR="000656C5" w:rsidRDefault="00000000">
      <w:pPr>
        <w:spacing w:line="480" w:lineRule="auto"/>
        <w:rPr>
          <w:rFonts w:eastAsia="宋体"/>
          <w:b/>
          <w:bCs/>
          <w:sz w:val="20"/>
          <w:szCs w:val="20"/>
        </w:rPr>
      </w:pPr>
      <w:r>
        <w:rPr>
          <w:rFonts w:eastAsia="宋体"/>
          <w:b/>
          <w:bCs/>
          <w:sz w:val="20"/>
          <w:szCs w:val="20"/>
        </w:rPr>
        <w:t>Supplementary Fig</w:t>
      </w:r>
      <w:r>
        <w:rPr>
          <w:rFonts w:eastAsia="宋体" w:hint="eastAsia"/>
          <w:b/>
          <w:bCs/>
          <w:sz w:val="20"/>
          <w:szCs w:val="20"/>
        </w:rPr>
        <w:t xml:space="preserve">ure </w:t>
      </w:r>
      <w:r>
        <w:rPr>
          <w:rFonts w:eastAsia="宋体"/>
          <w:b/>
          <w:bCs/>
          <w:sz w:val="20"/>
          <w:szCs w:val="20"/>
        </w:rPr>
        <w:t>2</w:t>
      </w:r>
      <w:r>
        <w:rPr>
          <w:rFonts w:eastAsia="宋体" w:hint="eastAsia"/>
          <w:b/>
          <w:bCs/>
          <w:sz w:val="20"/>
          <w:szCs w:val="20"/>
        </w:rPr>
        <w:t>.</w:t>
      </w:r>
      <w:r>
        <w:rPr>
          <w:rFonts w:eastAsia="宋体"/>
          <w:b/>
          <w:bCs/>
          <w:sz w:val="20"/>
          <w:szCs w:val="20"/>
        </w:rPr>
        <w:t xml:space="preserve"> Correlation analysis.</w:t>
      </w:r>
    </w:p>
    <w:p w14:paraId="04E542D2" w14:textId="60F8A603" w:rsidR="000656C5" w:rsidRDefault="00000000">
      <w:pPr>
        <w:numPr>
          <w:ilvl w:val="0"/>
          <w:numId w:val="1"/>
        </w:numPr>
      </w:pPr>
      <w:r>
        <w:rPr>
          <w:rFonts w:eastAsia="宋体"/>
          <w:sz w:val="20"/>
          <w:szCs w:val="20"/>
        </w:rPr>
        <w:t xml:space="preserve">Correlation between PLK1 and immune checkpoints. </w:t>
      </w:r>
      <w:r>
        <w:rPr>
          <w:rFonts w:eastAsia="宋体"/>
          <w:b/>
          <w:bCs/>
          <w:sz w:val="20"/>
          <w:szCs w:val="20"/>
        </w:rPr>
        <w:t>B</w:t>
      </w:r>
      <w:r>
        <w:rPr>
          <w:rFonts w:eastAsia="宋体"/>
          <w:sz w:val="20"/>
          <w:szCs w:val="20"/>
        </w:rPr>
        <w:t>. Correlation between PLK1 and RIPK3.</w:t>
      </w:r>
      <w:r>
        <w:rPr>
          <w:rFonts w:ascii="Times New Roman Regular" w:eastAsia="宋体" w:hAnsi="Times New Roman Regular" w:cs="Times New Roman Regular"/>
          <w:szCs w:val="21"/>
        </w:rPr>
        <w:t xml:space="preserve"> </w:t>
      </w:r>
      <w:r>
        <w:rPr>
          <w:rFonts w:eastAsia="宋体"/>
          <w:sz w:val="20"/>
          <w:szCs w:val="20"/>
        </w:rPr>
        <w:t>*</w:t>
      </w:r>
      <w:r>
        <w:rPr>
          <w:rFonts w:eastAsia="宋体"/>
          <w:i/>
          <w:iCs/>
          <w:sz w:val="20"/>
          <w:szCs w:val="20"/>
        </w:rPr>
        <w:t>p</w:t>
      </w:r>
      <w:r>
        <w:rPr>
          <w:rFonts w:eastAsia="宋体"/>
          <w:sz w:val="20"/>
          <w:szCs w:val="20"/>
        </w:rPr>
        <w:t>&lt;0.05, **</w:t>
      </w:r>
      <w:r>
        <w:rPr>
          <w:rFonts w:eastAsia="宋体"/>
          <w:i/>
          <w:iCs/>
          <w:sz w:val="20"/>
          <w:szCs w:val="20"/>
        </w:rPr>
        <w:t>p</w:t>
      </w:r>
      <w:r>
        <w:rPr>
          <w:rFonts w:eastAsia="宋体"/>
          <w:sz w:val="20"/>
          <w:szCs w:val="20"/>
        </w:rPr>
        <w:t>&lt;0.01, ***</w:t>
      </w:r>
      <w:r>
        <w:rPr>
          <w:rFonts w:eastAsia="宋体"/>
          <w:i/>
          <w:iCs/>
          <w:sz w:val="20"/>
          <w:szCs w:val="20"/>
        </w:rPr>
        <w:t>p</w:t>
      </w:r>
      <w:r>
        <w:rPr>
          <w:rFonts w:eastAsia="宋体"/>
          <w:sz w:val="20"/>
          <w:szCs w:val="20"/>
        </w:rPr>
        <w:t>&lt;0.001.</w:t>
      </w:r>
    </w:p>
    <w:p w14:paraId="07EE0136" w14:textId="77777777" w:rsidR="00890A1E" w:rsidRDefault="00890A1E" w:rsidP="00890A1E">
      <w:pPr>
        <w:rPr>
          <w:rFonts w:eastAsia="宋体"/>
          <w:b/>
          <w:bCs/>
          <w:sz w:val="20"/>
          <w:szCs w:val="20"/>
        </w:rPr>
      </w:pPr>
    </w:p>
    <w:p w14:paraId="6A411D4C" w14:textId="41EBA38C" w:rsidR="000656C5" w:rsidRDefault="00000000" w:rsidP="00890A1E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Supplementary Table 1. Baseline information table</w:t>
      </w:r>
    </w:p>
    <w:p w14:paraId="5F9B3F09" w14:textId="77777777" w:rsidR="000656C5" w:rsidRDefault="00000000" w:rsidP="00890A1E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Supplementary Table 2. Abs(log2FoldChange) top 500 differential genes</w:t>
      </w:r>
    </w:p>
    <w:p w14:paraId="29F63841" w14:textId="77777777" w:rsidR="000656C5" w:rsidRDefault="00000000" w:rsidP="00890A1E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Supplementary Table 3. GO enrichment analysis</w:t>
      </w:r>
    </w:p>
    <w:p w14:paraId="72F587B6" w14:textId="77777777" w:rsidR="000656C5" w:rsidRDefault="00000000" w:rsidP="00890A1E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Supplementary Table 4. KEGG enrichment analysis</w:t>
      </w:r>
    </w:p>
    <w:p w14:paraId="435B351E" w14:textId="77777777" w:rsidR="000656C5" w:rsidRDefault="00000000" w:rsidP="00890A1E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Supplementary Table 5. Univariate Cox regression analysis</w:t>
      </w:r>
    </w:p>
    <w:p w14:paraId="02EA7578" w14:textId="77777777" w:rsidR="000656C5" w:rsidRDefault="00000000" w:rsidP="00890A1E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Supplementary Table 6 Multivariate Cox regression analysis</w:t>
      </w:r>
    </w:p>
    <w:p w14:paraId="31BC944E" w14:textId="77777777" w:rsidR="000656C5" w:rsidRDefault="00000000" w:rsidP="00890A1E">
      <w:pPr>
        <w:rPr>
          <w:rFonts w:eastAsia="宋体"/>
          <w:b/>
          <w:bCs/>
          <w:sz w:val="20"/>
          <w:szCs w:val="20"/>
        </w:rPr>
      </w:pPr>
      <w:r>
        <w:rPr>
          <w:rFonts w:eastAsia="宋体" w:hint="eastAsia"/>
          <w:b/>
          <w:bCs/>
          <w:sz w:val="20"/>
          <w:szCs w:val="20"/>
        </w:rPr>
        <w:t>Supplementary Table 7. Correlation of infiltrating immune</w:t>
      </w:r>
    </w:p>
    <w:p w14:paraId="3A342EDF" w14:textId="77777777" w:rsidR="000656C5" w:rsidRDefault="000656C5">
      <w:pPr>
        <w:jc w:val="center"/>
        <w:rPr>
          <w:rFonts w:eastAsia="宋体"/>
          <w:b/>
          <w:bCs/>
          <w:sz w:val="20"/>
          <w:szCs w:val="20"/>
        </w:rPr>
      </w:pPr>
    </w:p>
    <w:sectPr w:rsidR="000656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E920F" w14:textId="77777777" w:rsidR="00067E73" w:rsidRDefault="00067E73">
      <w:pPr>
        <w:spacing w:before="0" w:after="0"/>
      </w:pPr>
      <w:r>
        <w:separator/>
      </w:r>
    </w:p>
  </w:endnote>
  <w:endnote w:type="continuationSeparator" w:id="0">
    <w:p w14:paraId="5F0E67C2" w14:textId="77777777" w:rsidR="00067E73" w:rsidRDefault="00067E7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Regular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37FF3" w14:textId="77777777" w:rsidR="00067E73" w:rsidRDefault="00067E73">
      <w:pPr>
        <w:spacing w:before="0" w:after="0"/>
      </w:pPr>
      <w:r>
        <w:separator/>
      </w:r>
    </w:p>
  </w:footnote>
  <w:footnote w:type="continuationSeparator" w:id="0">
    <w:p w14:paraId="60EF2553" w14:textId="77777777" w:rsidR="00067E73" w:rsidRDefault="00067E7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5DED9"/>
    <w:multiLevelType w:val="singleLevel"/>
    <w:tmpl w:val="2D95DED9"/>
    <w:lvl w:ilvl="0">
      <w:start w:val="1"/>
      <w:numFmt w:val="upperLetter"/>
      <w:suff w:val="space"/>
      <w:lvlText w:val="%1."/>
      <w:lvlJc w:val="left"/>
    </w:lvl>
  </w:abstractNum>
  <w:num w:numId="1" w16cid:durableId="338700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A1ZWRhNThiZjVlNTI0ZGYyMTZkOGYxY2NjODczOTkifQ=="/>
  </w:docVars>
  <w:rsids>
    <w:rsidRoot w:val="00172A27"/>
    <w:rsid w:val="000656C5"/>
    <w:rsid w:val="00067E73"/>
    <w:rsid w:val="00172A27"/>
    <w:rsid w:val="00890A1E"/>
    <w:rsid w:val="00EE74E9"/>
    <w:rsid w:val="2A3E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0D81D6"/>
  <w15:docId w15:val="{2010AC44-E171-45E5-8704-F9B64ABFB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before="120" w:after="240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21">
    <w:name w:val="font21"/>
    <w:basedOn w:val="a0"/>
    <w:rPr>
      <w:rFonts w:ascii="Times New Roman" w:hAnsi="Times New Roman" w:cs="Times New Roman" w:hint="default"/>
      <w:i/>
      <w:iCs/>
      <w:color w:val="000000"/>
      <w:sz w:val="22"/>
      <w:szCs w:val="22"/>
      <w:u w:val="none"/>
    </w:rPr>
  </w:style>
  <w:style w:type="character" w:customStyle="1" w:styleId="font11">
    <w:name w:val="font11"/>
    <w:basedOn w:val="a0"/>
    <w:rPr>
      <w:rFonts w:ascii="Times New Roman" w:hAnsi="Times New Roman" w:cs="Times New Roman" w:hint="default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深度隐藏</dc:creator>
  <cp:lastModifiedBy>Zillah Zillah</cp:lastModifiedBy>
  <cp:revision>4</cp:revision>
  <dcterms:created xsi:type="dcterms:W3CDTF">2023-08-30T04:00:00Z</dcterms:created>
  <dcterms:modified xsi:type="dcterms:W3CDTF">2023-08-31T03:46:00Z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BDB39578D9CD4564A21C43850335ED86_11</vt:lpwstr>
  </property>
</Properties>
</file>